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33" w:rsidRDefault="00FD2333" w:rsidP="00FD2333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094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0042/2016 – Homologado em 17/05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094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0042/2016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DA66AD">
        <w:rPr>
          <w:rFonts w:eastAsia="Times New Roman"/>
          <w:b/>
          <w:color w:val="000000" w:themeColor="text1"/>
          <w:sz w:val="20"/>
          <w:lang w:val="pt-BR"/>
        </w:rPr>
        <w:t>CASA PENA LTDA; INFOLOCK PAPELARIA E PRESENTES LTDA; JBI COMERCIO DE UTILIDADES EIRELI ME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Adjudicado em </w:t>
      </w:r>
      <w:proofErr w:type="gramStart"/>
      <w:r>
        <w:rPr>
          <w:rFonts w:eastAsia="Times New Roman"/>
          <w:color w:val="000000" w:themeColor="text1"/>
          <w:sz w:val="20"/>
          <w:lang w:val="pt-BR"/>
        </w:rPr>
        <w:t>17/05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proofErr w:type="gramEnd"/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3"/>
    <w:rsid w:val="0087408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FD233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FD233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2016-08-18T16:58:00Z</dcterms:created>
  <dcterms:modified xsi:type="dcterms:W3CDTF">2016-08-18T16:58:00Z</dcterms:modified>
</cp:coreProperties>
</file>