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2C" w:rsidRDefault="005C372C" w:rsidP="005C372C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0043/2019,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15/03/2019.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0043/2019,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proofErr w:type="gramStart"/>
      <w:r w:rsidRPr="00C226B2">
        <w:rPr>
          <w:rFonts w:cstheme="minorBidi"/>
          <w:b/>
          <w:sz w:val="20"/>
        </w:rPr>
        <w:t>AUTO POSTO</w:t>
      </w:r>
      <w:proofErr w:type="gramEnd"/>
      <w:r w:rsidRPr="00C226B2">
        <w:rPr>
          <w:rFonts w:cstheme="minorBidi"/>
          <w:b/>
          <w:sz w:val="20"/>
        </w:rPr>
        <w:t xml:space="preserve"> PRODUTOR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15/03/2019 Valor Total: R$ </w:t>
      </w:r>
      <w:r w:rsidRPr="00C226B2">
        <w:rPr>
          <w:rFonts w:cstheme="minorBidi"/>
          <w:sz w:val="20"/>
        </w:rPr>
        <w:t>719.373,00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C372C"/>
    <w:rsid w:val="005C372C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5C372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2019-08-21T19:28:00Z</dcterms:created>
  <dcterms:modified xsi:type="dcterms:W3CDTF">2019-08-21T19:29:00Z</dcterms:modified>
</cp:coreProperties>
</file>